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צוואות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הנופלים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איליי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לוי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חברים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יקרים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עדכונים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מהלחימה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(...)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גודל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ההרס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והחורבן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שהמטנו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המרחב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יובן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נוכח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במחזה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בעיניים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העיר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נמחקה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האויב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מרוסק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רואים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בורח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מפוחד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משאיר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הציוד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ונס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נפשו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הורגים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בורח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השמחה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האדירה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שהייתה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הוחלפה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בזעקת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שבר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האויב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מצטער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נולד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הפנים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להכות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באויב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שיימחק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המלחמה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ארוכה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לפנינו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נחזור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שאחרון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החטופים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יחזור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הביתה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נישאר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שנתיים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זכיתי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גאה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להוביל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פלוגה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בלחימה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משמעותית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כזאת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הרגשה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ומספקת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מלראות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התוצאות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הקשה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בשגרה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כאן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בלחימה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הרגשה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מלראות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הלחימה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האדירה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הלוחמים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הרגשה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מלהילחם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המפקדים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שלצדי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הטובים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שבטובים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פים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שנפצעים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וחוזרים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להילחם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מפקדים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הנשים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והילדים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-7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נלחמים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מאהבת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המולדת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משנאת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האויב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כאב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אדיר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מלווה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חטוף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בשבי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שאיבדה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מחזה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שנוכחתי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-7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המניע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שדוחף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הטובים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תדעו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לסמוך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מכאן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מעולה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דור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הטיקטוק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נופל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מדור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1973,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שחשב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ככה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הכובע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1"/>
        </w:rPr>
        <w:t xml:space="preserve">רס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מתל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אביב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מפקד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פלוגה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בגדוד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202,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חטיבת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הצנחנים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נפל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-22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בינואר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בח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יונס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aHcgHmrx7YFGD2BoVmU47M0Yw==">CgMxLjA4AHIhMVJ0eDZTbFU1a2d1UTRCYlZjZ202TVFuSFBnNjJJMXNo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2024-09-02T11:25:00Z</dcterms:created>
  <dc:creator>לימור מגן</dc:creator>
</cp:coreProperties>
</file>