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סיפורי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גבורה</w:t>
      </w:r>
    </w:p>
    <w:p w:rsidR="00000000" w:rsidDel="00000000" w:rsidP="00000000" w:rsidRDefault="00000000" w:rsidRPr="00000000" w14:paraId="00000004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אילון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, </w:t>
      </w:r>
      <w:r w:rsidDel="00000000" w:rsidR="00000000" w:rsidRPr="00000000">
        <w:rPr>
          <w:b w:val="1"/>
          <w:sz w:val="44"/>
          <w:szCs w:val="44"/>
          <w:highlight w:val="yellow"/>
          <w:rtl w:val="1"/>
        </w:rPr>
        <w:t xml:space="preserve">כפר</w:t>
      </w:r>
      <w:r w:rsidDel="00000000" w:rsidR="00000000" w:rsidRPr="00000000">
        <w:rPr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highlight w:val="yellow"/>
          <w:rtl w:val="1"/>
        </w:rPr>
        <w:t xml:space="preserve">עזה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7/10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אילון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- 15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סבתה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ומתעוררת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בבוקר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האזעקות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והמטחים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במקביל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מקבלת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הודעות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בווצאפ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שמסתובבים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בקיבוץ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אחיה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שנמצא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שולח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הוקפץ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ומבקש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נכנסת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ומתחבאת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למיטה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דודתה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שומעת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קרוב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ההחלונות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מתנפצים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הקיבוץ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יחידת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דובדבן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שמצאו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כאוס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מוחלט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נתקלו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חטפו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והאירוע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מסובך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נהרגו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ונפצעו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גררו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הפצועים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סבתא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ומתחילים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בפצועים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והופכים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מקלט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שמסתתרת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למיטה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שומעת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מוכרים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בעברית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נכנסים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שומעת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המצוקה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והצורך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שקורה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וחושבת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רעיון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צריכים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לדעת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פצועים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מיקומים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הבנתי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יעזור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למיטה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לנסות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להילחם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ולעזור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אמרתי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קבוצה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הקיבוץ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אצלו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שולח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מיקום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ארכז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פצועים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".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לוחמי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דובדבן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לוקחים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ההצעה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לרכז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הקריטי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וחשוב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ביניהם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הקיבוץ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שבשלב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מבינים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נמצאים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סומכים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נבהלו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פרוץ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מסובך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להגיד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בנקודה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לרשום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הקבוצות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לדאוג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מקליטה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הודעות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שומעים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הלוחמים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ומראה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מסמנת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התקלות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שומעים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שמתהלכים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זוועות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שחייבים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לעצור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עזרה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למוקדים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לחסל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ולהוציא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משפחות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החוצה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דובדבן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ששהה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סבתה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התחיל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להכין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לעזיבה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ולהתקפל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בעזרתה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משימות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דחופות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ועזבו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משפחת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אילון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כשביתם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מטוהר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מאוחרת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מתושבי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הקיבוץ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חולצו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התקשר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אליי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להוציא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הסתכלתי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מסביב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וראיתי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סבתא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מאיתנו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פצוע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דובדבן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ששתינו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כאלו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מארוחת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אמרתי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פצועים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הצעיר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שילכו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אליהם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קצת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שצריך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".</w:t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לוחמי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דובדבן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שכחו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הילדה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הגיבורה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שעזרה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שולחים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גבעתי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נמצאת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משפחתה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ובתהליך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חילוץ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מסוכן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מובילים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מבטחים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בתחנת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הדלק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הנערה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משפחות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זקוקות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לעזרה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מכוונת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למיקומים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35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מתאחדת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ואחיה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הקטנים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מגלה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שאביה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בכיתת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הכוננות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נעדר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ובהמשך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מתקבלת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נהרג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הפייסבוק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ברזל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סיורי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")</w:t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לינקים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לסרטונים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רלוונטיים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נוסף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חרבות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ברזל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, 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סיפורי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גבורה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גיבורים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-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טל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ז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"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ל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וגלי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אילון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2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משפחת</w:t>
        </w:r>
      </w:hyperlink>
      <w:hyperlink r:id="rId2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אילון</w:t>
        </w:r>
      </w:hyperlink>
      <w:hyperlink r:id="rId2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נפרדת</w:t>
        </w:r>
      </w:hyperlink>
      <w:hyperlink r:id="rId3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מאבא</w:t>
        </w:r>
      </w:hyperlink>
      <w:hyperlink r:id="rId3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, </w:t>
        </w:r>
      </w:hyperlink>
      <w:hyperlink r:id="rId3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ישראל</w:t>
        </w:r>
      </w:hyperlink>
      <w:hyperlink r:id="rId3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היום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36" w:type="default"/>
      <w:footerReference r:id="rId3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NormalWeb">
    <w:name w:val="Normal (Web)"/>
    <w:basedOn w:val="a"/>
    <w:uiPriority w:val="99"/>
    <w:semiHidden w:val="1"/>
    <w:unhideWhenUsed w:val="1"/>
    <w:rsid w:val="00122D09"/>
    <w:rPr>
      <w:rFonts w:ascii="Times New Roman" w:hAnsi="Times New Roman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ako.co.il/mako-vod-keshet/heroes-s1/VOD-78a0c38dde9ec81027.htm" TargetMode="External"/><Relationship Id="rId22" Type="http://schemas.openxmlformats.org/officeDocument/2006/relationships/hyperlink" Target="https://www.mako.co.il/mako-vod-keshet/heroes-s1/VOD-78a0c38dde9ec81027.htm" TargetMode="External"/><Relationship Id="rId21" Type="http://schemas.openxmlformats.org/officeDocument/2006/relationships/hyperlink" Target="https://www.mako.co.il/mako-vod-keshet/heroes-s1/VOD-78a0c38dde9ec81027.htm" TargetMode="External"/><Relationship Id="rId24" Type="http://schemas.openxmlformats.org/officeDocument/2006/relationships/hyperlink" Target="https://www.mako.co.il/mako-vod-keshet/heroes-s1/VOD-78a0c38dde9ec81027.htm" TargetMode="External"/><Relationship Id="rId23" Type="http://schemas.openxmlformats.org/officeDocument/2006/relationships/hyperlink" Target="https://www.mako.co.il/mako-vod-keshet/heroes-s1/VOD-78a0c38dde9ec81027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permalink.php/?story_fbid=122151291590070774&amp;id=61552123241544" TargetMode="External"/><Relationship Id="rId26" Type="http://schemas.openxmlformats.org/officeDocument/2006/relationships/hyperlink" Target="https://www.israelhayom.co.il/magazine/shishabat/article/14729449" TargetMode="External"/><Relationship Id="rId25" Type="http://schemas.openxmlformats.org/officeDocument/2006/relationships/hyperlink" Target="https://www.israelhayom.co.il/magazine/shishabat/article/14729449" TargetMode="External"/><Relationship Id="rId28" Type="http://schemas.openxmlformats.org/officeDocument/2006/relationships/hyperlink" Target="https://www.israelhayom.co.il/magazine/shishabat/article/14729449" TargetMode="External"/><Relationship Id="rId27" Type="http://schemas.openxmlformats.org/officeDocument/2006/relationships/hyperlink" Target="https://www.israelhayom.co.il/magazine/shishabat/article/1472944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israelhayom.co.il/magazine/shishabat/article/14729449" TargetMode="External"/><Relationship Id="rId7" Type="http://schemas.openxmlformats.org/officeDocument/2006/relationships/hyperlink" Target="https://www.facebook.com/permalink.php/?story_fbid=122151291590070774&amp;id=61552123241544" TargetMode="External"/><Relationship Id="rId8" Type="http://schemas.openxmlformats.org/officeDocument/2006/relationships/hyperlink" Target="https://www.facebook.com/permalink.php/?story_fbid=122151291590070774&amp;id=61552123241544" TargetMode="External"/><Relationship Id="rId31" Type="http://schemas.openxmlformats.org/officeDocument/2006/relationships/hyperlink" Target="https://www.israelhayom.co.il/magazine/shishabat/article/14729449" TargetMode="External"/><Relationship Id="rId30" Type="http://schemas.openxmlformats.org/officeDocument/2006/relationships/hyperlink" Target="https://www.israelhayom.co.il/magazine/shishabat/article/14729449" TargetMode="External"/><Relationship Id="rId11" Type="http://schemas.openxmlformats.org/officeDocument/2006/relationships/hyperlink" Target="https://www.facebook.com/permalink.php/?story_fbid=122151291590070774&amp;id=61552123241544" TargetMode="External"/><Relationship Id="rId33" Type="http://schemas.openxmlformats.org/officeDocument/2006/relationships/hyperlink" Target="https://www.israelhayom.co.il/magazine/shishabat/article/14729449" TargetMode="External"/><Relationship Id="rId10" Type="http://schemas.openxmlformats.org/officeDocument/2006/relationships/hyperlink" Target="https://www.facebook.com/permalink.php/?story_fbid=122151291590070774&amp;id=61552123241544" TargetMode="External"/><Relationship Id="rId32" Type="http://schemas.openxmlformats.org/officeDocument/2006/relationships/hyperlink" Target="https://www.israelhayom.co.il/magazine/shishabat/article/14729449" TargetMode="External"/><Relationship Id="rId13" Type="http://schemas.openxmlformats.org/officeDocument/2006/relationships/hyperlink" Target="https://www.facebook.com/permalink.php/?story_fbid=122151291590070774&amp;id=61552123241544" TargetMode="External"/><Relationship Id="rId35" Type="http://schemas.openxmlformats.org/officeDocument/2006/relationships/hyperlink" Target="https://www.israelhayom.co.il/magazine/shishabat/article/14729449" TargetMode="External"/><Relationship Id="rId12" Type="http://schemas.openxmlformats.org/officeDocument/2006/relationships/hyperlink" Target="https://www.facebook.com/permalink.php/?story_fbid=122151291590070774&amp;id=61552123241544" TargetMode="External"/><Relationship Id="rId34" Type="http://schemas.openxmlformats.org/officeDocument/2006/relationships/hyperlink" Target="https://www.israelhayom.co.il/magazine/shishabat/article/14729449" TargetMode="External"/><Relationship Id="rId15" Type="http://schemas.openxmlformats.org/officeDocument/2006/relationships/hyperlink" Target="https://www.mako.co.il/mako-vod-keshet/heroes-s1/VOD-78a0c38dde9ec81027.htm" TargetMode="External"/><Relationship Id="rId37" Type="http://schemas.openxmlformats.org/officeDocument/2006/relationships/footer" Target="footer1.xml"/><Relationship Id="rId14" Type="http://schemas.openxmlformats.org/officeDocument/2006/relationships/hyperlink" Target="https://www.mako.co.il/mako-vod-keshet/heroes-s1/VOD-78a0c38dde9ec81027.htm" TargetMode="External"/><Relationship Id="rId36" Type="http://schemas.openxmlformats.org/officeDocument/2006/relationships/header" Target="header1.xml"/><Relationship Id="rId17" Type="http://schemas.openxmlformats.org/officeDocument/2006/relationships/hyperlink" Target="https://www.mako.co.il/mako-vod-keshet/heroes-s1/VOD-78a0c38dde9ec81027.htm" TargetMode="External"/><Relationship Id="rId16" Type="http://schemas.openxmlformats.org/officeDocument/2006/relationships/hyperlink" Target="https://www.mako.co.il/mako-vod-keshet/heroes-s1/VOD-78a0c38dde9ec81027.htm" TargetMode="External"/><Relationship Id="rId19" Type="http://schemas.openxmlformats.org/officeDocument/2006/relationships/hyperlink" Target="https://www.mako.co.il/mako-vod-keshet/heroes-s1/VOD-78a0c38dde9ec81027.htm" TargetMode="External"/><Relationship Id="rId18" Type="http://schemas.openxmlformats.org/officeDocument/2006/relationships/hyperlink" Target="https://www.mako.co.il/mako-vod-keshet/heroes-s1/VOD-78a0c38dde9ec81027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t9rH5e3Nh7lJfMfpSbZCTB9LA==">CgMxLjA4AHIhMVdoVkVweVRYWXJZWWNvMmx6UUpvd0hnaHlrbTk5UU45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2024-09-05T09:49:00Z</dcterms:created>
  <dc:creator>לימור מגן</dc:creator>
</cp:coreProperties>
</file>