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שחר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פרידמן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טובים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תחייכו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תשאפו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יפגוש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לחייך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פתוחים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לביקורת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ותנסו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להשתפר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דעו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הגדולה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לשמח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תפתחו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אוזניים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לצרכיו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הזולת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ותפקחו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לצערו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השתדלו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לחייך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שימו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הקטנים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הנופלים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בזווית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תעריכו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הקטנים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להציע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ומוזיקה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והכי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בדרככם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להכתיב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השתדלו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כשנופלים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להצלחה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תאהבו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תקרינו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מעגל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פרידמן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ביחידת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101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צנחנים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ונהרג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בכסלו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(18.11.23)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חוליית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חוסלו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ומפקדו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נהרגו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21.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ובתוכו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שנשארו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כצוואה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Hgz2DKNkEPXTVbnPMjujRridw==">CgMxLjA4AHIhMU1YVXUxSUxLRkZlVGFrVW43TnFoSTlmQjIydVdoMGMx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2024-09-01T13:43:00Z</dcterms:created>
  <dc:creator>לימור מגן</dc:creator>
</cp:coreProperties>
</file>